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8"/>
      </w:tblGrid>
      <w:tr w:rsidR="00971586" w:rsidTr="00971586">
        <w:tc>
          <w:tcPr>
            <w:tcW w:w="9854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A6A6A6" w:themeFill="background1" w:themeFillShade="A6"/>
          </w:tcPr>
          <w:p w:rsidR="00971586" w:rsidRPr="00162C2C" w:rsidRDefault="00971586" w:rsidP="00C7274D">
            <w:pPr>
              <w:rPr>
                <w:rFonts w:ascii="Arial" w:hAnsi="Arial" w:cs="Arial"/>
                <w:b/>
                <w:i/>
              </w:rPr>
            </w:pPr>
            <w:bookmarkStart w:id="0" w:name="_GoBack"/>
            <w:bookmarkEnd w:id="0"/>
          </w:p>
          <w:p w:rsidR="00971586" w:rsidRPr="007D5C95" w:rsidRDefault="00971586" w:rsidP="00971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5C95">
              <w:rPr>
                <w:rFonts w:ascii="Arial" w:hAnsi="Arial" w:cs="Arial"/>
                <w:b/>
                <w:sz w:val="28"/>
                <w:szCs w:val="28"/>
              </w:rPr>
              <w:t>Royal Hospital for Neuro-disability</w:t>
            </w:r>
          </w:p>
          <w:p w:rsidR="00971586" w:rsidRDefault="00971586" w:rsidP="00971586">
            <w:pPr>
              <w:jc w:val="center"/>
              <w:rPr>
                <w:rFonts w:ascii="Arial" w:hAnsi="Arial" w:cs="Arial"/>
                <w:b/>
              </w:rPr>
            </w:pPr>
          </w:p>
          <w:p w:rsidR="00971586" w:rsidRPr="007D5C95" w:rsidRDefault="00971586" w:rsidP="00971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5C95">
              <w:rPr>
                <w:rFonts w:ascii="Arial" w:hAnsi="Arial" w:cs="Arial"/>
                <w:b/>
                <w:sz w:val="28"/>
                <w:szCs w:val="28"/>
              </w:rPr>
              <w:t>ACTION CARD ONE</w:t>
            </w:r>
          </w:p>
          <w:p w:rsidR="00971586" w:rsidRDefault="00971586" w:rsidP="00971586">
            <w:pPr>
              <w:jc w:val="center"/>
              <w:rPr>
                <w:rFonts w:ascii="Arial" w:hAnsi="Arial" w:cs="Arial"/>
                <w:b/>
              </w:rPr>
            </w:pPr>
          </w:p>
          <w:p w:rsidR="00971586" w:rsidRPr="007D5C95" w:rsidRDefault="007D5C95" w:rsidP="0097158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D5C95">
              <w:rPr>
                <w:rFonts w:ascii="Arial" w:hAnsi="Arial" w:cs="Arial"/>
                <w:b/>
                <w:sz w:val="28"/>
                <w:szCs w:val="28"/>
              </w:rPr>
              <w:t>SILVER COMMANDER (Silver</w:t>
            </w:r>
            <w:r w:rsidR="00971586" w:rsidRPr="007D5C95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971586" w:rsidRDefault="00971586" w:rsidP="00C7274D">
            <w:pPr>
              <w:rPr>
                <w:rFonts w:ascii="Arial" w:hAnsi="Arial" w:cs="Arial"/>
                <w:b/>
              </w:rPr>
            </w:pPr>
          </w:p>
        </w:tc>
      </w:tr>
    </w:tbl>
    <w:p w:rsidR="00971586" w:rsidRPr="00971586" w:rsidRDefault="00971586" w:rsidP="00C7274D">
      <w:pPr>
        <w:spacing w:after="0"/>
        <w:rPr>
          <w:rFonts w:ascii="Arial" w:hAnsi="Arial" w:cs="Arial"/>
          <w:b/>
        </w:rPr>
      </w:pPr>
    </w:p>
    <w:p w:rsidR="00553E45" w:rsidRPr="00971586" w:rsidRDefault="00553E45" w:rsidP="00C7274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t>This role will defau</w:t>
      </w:r>
      <w:r w:rsidR="009B507E" w:rsidRPr="00971586">
        <w:rPr>
          <w:rFonts w:ascii="Arial" w:hAnsi="Arial" w:cs="Arial"/>
          <w:b/>
          <w:sz w:val="28"/>
          <w:szCs w:val="28"/>
        </w:rPr>
        <w:t xml:space="preserve">lt to the </w:t>
      </w:r>
      <w:r w:rsidR="00F75467">
        <w:rPr>
          <w:rFonts w:ascii="Arial" w:hAnsi="Arial" w:cs="Arial"/>
          <w:b/>
          <w:sz w:val="28"/>
          <w:szCs w:val="28"/>
        </w:rPr>
        <w:t>O</w:t>
      </w:r>
      <w:r w:rsidR="00A37C42" w:rsidRPr="00971586">
        <w:rPr>
          <w:rFonts w:ascii="Arial" w:hAnsi="Arial" w:cs="Arial"/>
          <w:b/>
          <w:sz w:val="28"/>
          <w:szCs w:val="28"/>
        </w:rPr>
        <w:t xml:space="preserve">n-site Duty Manager then the </w:t>
      </w:r>
      <w:r w:rsidR="009B507E" w:rsidRPr="00971586">
        <w:rPr>
          <w:rFonts w:ascii="Arial" w:hAnsi="Arial" w:cs="Arial"/>
          <w:b/>
          <w:sz w:val="28"/>
          <w:szCs w:val="28"/>
        </w:rPr>
        <w:t>On-call Manager when a</w:t>
      </w:r>
      <w:r w:rsidRPr="00971586">
        <w:rPr>
          <w:rFonts w:ascii="Arial" w:hAnsi="Arial" w:cs="Arial"/>
          <w:b/>
          <w:sz w:val="28"/>
          <w:szCs w:val="28"/>
        </w:rPr>
        <w:t xml:space="preserve"> Major</w:t>
      </w:r>
      <w:r w:rsidR="00B74185">
        <w:rPr>
          <w:rFonts w:ascii="Arial" w:hAnsi="Arial" w:cs="Arial"/>
          <w:b/>
          <w:sz w:val="28"/>
          <w:szCs w:val="28"/>
        </w:rPr>
        <w:t xml:space="preserve"> or Critical</w:t>
      </w:r>
      <w:r w:rsidRPr="00971586">
        <w:rPr>
          <w:rFonts w:ascii="Arial" w:hAnsi="Arial" w:cs="Arial"/>
          <w:b/>
          <w:sz w:val="28"/>
          <w:szCs w:val="28"/>
        </w:rPr>
        <w:t xml:space="preserve"> Incident is declared</w:t>
      </w:r>
    </w:p>
    <w:p w:rsidR="00553E45" w:rsidRPr="00971586" w:rsidRDefault="00553E45" w:rsidP="00C7274D">
      <w:pPr>
        <w:spacing w:after="0"/>
        <w:rPr>
          <w:rFonts w:ascii="Arial" w:hAnsi="Arial" w:cs="Arial"/>
          <w:b/>
        </w:rPr>
      </w:pPr>
    </w:p>
    <w:p w:rsidR="00E47C7E" w:rsidRPr="00971586" w:rsidRDefault="00E47C7E" w:rsidP="00C7274D">
      <w:pPr>
        <w:spacing w:after="0"/>
        <w:rPr>
          <w:rFonts w:ascii="Arial" w:hAnsi="Arial" w:cs="Arial"/>
          <w:b/>
          <w:sz w:val="26"/>
          <w:szCs w:val="26"/>
        </w:rPr>
      </w:pPr>
      <w:r w:rsidRPr="00971586">
        <w:rPr>
          <w:rFonts w:ascii="Arial" w:hAnsi="Arial" w:cs="Arial"/>
          <w:b/>
          <w:sz w:val="26"/>
          <w:szCs w:val="26"/>
        </w:rPr>
        <w:t>Overview</w:t>
      </w:r>
    </w:p>
    <w:p w:rsidR="00F85869" w:rsidRPr="00971586" w:rsidRDefault="00AB7EC0" w:rsidP="00C7274D">
      <w:pPr>
        <w:spacing w:after="0"/>
        <w:rPr>
          <w:rFonts w:ascii="Arial" w:hAnsi="Arial" w:cs="Arial"/>
          <w:sz w:val="24"/>
          <w:szCs w:val="24"/>
        </w:rPr>
      </w:pPr>
      <w:r w:rsidRPr="00971586">
        <w:rPr>
          <w:rFonts w:ascii="Arial" w:hAnsi="Arial" w:cs="Arial"/>
          <w:sz w:val="24"/>
          <w:szCs w:val="24"/>
        </w:rPr>
        <w:t xml:space="preserve">The role </w:t>
      </w:r>
      <w:r w:rsidR="00462432" w:rsidRPr="00971586">
        <w:rPr>
          <w:rFonts w:ascii="Arial" w:hAnsi="Arial" w:cs="Arial"/>
          <w:sz w:val="24"/>
          <w:szCs w:val="24"/>
        </w:rPr>
        <w:t>of Silver is tactical.</w:t>
      </w:r>
      <w:r w:rsidR="00F17F57" w:rsidRPr="00971586">
        <w:rPr>
          <w:rFonts w:ascii="Arial" w:hAnsi="Arial" w:cs="Arial"/>
          <w:sz w:val="24"/>
          <w:szCs w:val="24"/>
        </w:rPr>
        <w:t xml:space="preserve"> </w:t>
      </w:r>
      <w:r w:rsidR="00B935BD" w:rsidRPr="00971586">
        <w:rPr>
          <w:rFonts w:ascii="Arial" w:hAnsi="Arial" w:cs="Arial"/>
          <w:sz w:val="24"/>
          <w:szCs w:val="24"/>
        </w:rPr>
        <w:t xml:space="preserve"> </w:t>
      </w:r>
      <w:r w:rsidR="00462432" w:rsidRPr="00971586">
        <w:rPr>
          <w:rFonts w:ascii="Arial" w:hAnsi="Arial" w:cs="Arial"/>
          <w:sz w:val="24"/>
          <w:szCs w:val="24"/>
        </w:rPr>
        <w:t>Silver</w:t>
      </w:r>
      <w:r w:rsidR="00B935BD" w:rsidRPr="00971586">
        <w:rPr>
          <w:rFonts w:ascii="Arial" w:hAnsi="Arial" w:cs="Arial"/>
          <w:sz w:val="24"/>
          <w:szCs w:val="24"/>
        </w:rPr>
        <w:t xml:space="preserve"> Commander is</w:t>
      </w:r>
      <w:r w:rsidR="00CD682B" w:rsidRPr="00971586">
        <w:rPr>
          <w:rFonts w:ascii="Arial" w:hAnsi="Arial" w:cs="Arial"/>
          <w:sz w:val="24"/>
          <w:szCs w:val="24"/>
        </w:rPr>
        <w:t xml:space="preserve"> responsible for operational ma</w:t>
      </w:r>
      <w:r w:rsidR="00E6529D" w:rsidRPr="00971586">
        <w:rPr>
          <w:rFonts w:ascii="Arial" w:hAnsi="Arial" w:cs="Arial"/>
          <w:sz w:val="24"/>
          <w:szCs w:val="24"/>
        </w:rPr>
        <w:t xml:space="preserve">nagement of the incident and </w:t>
      </w:r>
      <w:r w:rsidR="00F75467">
        <w:rPr>
          <w:rFonts w:ascii="Arial" w:hAnsi="Arial" w:cs="Arial"/>
          <w:sz w:val="24"/>
          <w:szCs w:val="24"/>
        </w:rPr>
        <w:t xml:space="preserve">is </w:t>
      </w:r>
      <w:r w:rsidR="00E6529D" w:rsidRPr="00971586">
        <w:rPr>
          <w:rFonts w:ascii="Arial" w:hAnsi="Arial" w:cs="Arial"/>
          <w:sz w:val="24"/>
          <w:szCs w:val="24"/>
        </w:rPr>
        <w:t>the</w:t>
      </w:r>
      <w:r w:rsidRPr="00971586">
        <w:rPr>
          <w:rFonts w:ascii="Arial" w:hAnsi="Arial" w:cs="Arial"/>
          <w:sz w:val="24"/>
          <w:szCs w:val="24"/>
        </w:rPr>
        <w:t xml:space="preserve"> key contact with the emergency services.</w:t>
      </w:r>
      <w:r w:rsidR="00CD682B" w:rsidRPr="00971586">
        <w:rPr>
          <w:rFonts w:ascii="Arial" w:hAnsi="Arial" w:cs="Arial"/>
          <w:sz w:val="24"/>
          <w:szCs w:val="24"/>
        </w:rPr>
        <w:t xml:space="preserve"> </w:t>
      </w:r>
      <w:r w:rsidRPr="00971586">
        <w:rPr>
          <w:rFonts w:ascii="Arial" w:hAnsi="Arial" w:cs="Arial"/>
          <w:sz w:val="24"/>
          <w:szCs w:val="24"/>
        </w:rPr>
        <w:t xml:space="preserve"> </w:t>
      </w:r>
      <w:r w:rsidR="00CD682B" w:rsidRPr="00971586">
        <w:rPr>
          <w:rFonts w:ascii="Arial" w:hAnsi="Arial" w:cs="Arial"/>
          <w:sz w:val="24"/>
          <w:szCs w:val="24"/>
        </w:rPr>
        <w:t xml:space="preserve">The role will initially be </w:t>
      </w:r>
      <w:r w:rsidR="004926F3" w:rsidRPr="00971586">
        <w:rPr>
          <w:rFonts w:ascii="Arial" w:hAnsi="Arial" w:cs="Arial"/>
          <w:sz w:val="24"/>
          <w:szCs w:val="24"/>
        </w:rPr>
        <w:t xml:space="preserve">fulfilled by the </w:t>
      </w:r>
      <w:r w:rsidR="00F75467">
        <w:rPr>
          <w:rFonts w:ascii="Arial" w:hAnsi="Arial" w:cs="Arial"/>
          <w:sz w:val="24"/>
          <w:szCs w:val="24"/>
        </w:rPr>
        <w:t>O</w:t>
      </w:r>
      <w:r w:rsidR="00B935BD" w:rsidRPr="00971586">
        <w:rPr>
          <w:rFonts w:ascii="Arial" w:hAnsi="Arial" w:cs="Arial"/>
          <w:sz w:val="24"/>
          <w:szCs w:val="24"/>
        </w:rPr>
        <w:t>n-site</w:t>
      </w:r>
      <w:r w:rsidR="00CD682B" w:rsidRPr="00971586">
        <w:rPr>
          <w:rFonts w:ascii="Arial" w:hAnsi="Arial" w:cs="Arial"/>
          <w:sz w:val="24"/>
          <w:szCs w:val="24"/>
        </w:rPr>
        <w:t xml:space="preserve"> </w:t>
      </w:r>
      <w:r w:rsidR="00F17F57" w:rsidRPr="00971586">
        <w:rPr>
          <w:rFonts w:ascii="Arial" w:hAnsi="Arial" w:cs="Arial"/>
          <w:sz w:val="24"/>
          <w:szCs w:val="24"/>
        </w:rPr>
        <w:t xml:space="preserve">Duty Manager if the On-call </w:t>
      </w:r>
      <w:r w:rsidR="00CD682B" w:rsidRPr="00971586">
        <w:rPr>
          <w:rFonts w:ascii="Arial" w:hAnsi="Arial" w:cs="Arial"/>
          <w:sz w:val="24"/>
          <w:szCs w:val="24"/>
        </w:rPr>
        <w:t>Manager</w:t>
      </w:r>
      <w:r w:rsidR="00F17F57" w:rsidRPr="00971586">
        <w:rPr>
          <w:rFonts w:ascii="Arial" w:hAnsi="Arial" w:cs="Arial"/>
          <w:sz w:val="24"/>
          <w:szCs w:val="24"/>
        </w:rPr>
        <w:t xml:space="preserve"> has not yet reached the site</w:t>
      </w:r>
      <w:r w:rsidR="00CD682B" w:rsidRPr="00971586">
        <w:rPr>
          <w:rFonts w:ascii="Arial" w:hAnsi="Arial" w:cs="Arial"/>
          <w:sz w:val="24"/>
          <w:szCs w:val="24"/>
        </w:rPr>
        <w:t xml:space="preserve">.  </w:t>
      </w:r>
      <w:r w:rsidR="00F17F57" w:rsidRPr="00971586">
        <w:rPr>
          <w:rFonts w:ascii="Arial" w:hAnsi="Arial" w:cs="Arial"/>
          <w:sz w:val="24"/>
          <w:szCs w:val="24"/>
        </w:rPr>
        <w:t xml:space="preserve">The first Senior Manager </w:t>
      </w:r>
      <w:r w:rsidR="00F85869" w:rsidRPr="00971586">
        <w:rPr>
          <w:rFonts w:ascii="Arial" w:hAnsi="Arial" w:cs="Arial"/>
          <w:sz w:val="24"/>
          <w:szCs w:val="24"/>
        </w:rPr>
        <w:t xml:space="preserve">to arrive </w:t>
      </w:r>
      <w:r w:rsidR="00F17F57" w:rsidRPr="00971586">
        <w:rPr>
          <w:rFonts w:ascii="Arial" w:hAnsi="Arial" w:cs="Arial"/>
          <w:sz w:val="24"/>
          <w:szCs w:val="24"/>
        </w:rPr>
        <w:t xml:space="preserve">will fulfil the role until the On-call Manager is </w:t>
      </w:r>
      <w:r w:rsidR="00B935BD" w:rsidRPr="00971586">
        <w:rPr>
          <w:rFonts w:ascii="Arial" w:hAnsi="Arial" w:cs="Arial"/>
          <w:sz w:val="24"/>
          <w:szCs w:val="24"/>
        </w:rPr>
        <w:t xml:space="preserve">available </w:t>
      </w:r>
      <w:r w:rsidR="00F17F57" w:rsidRPr="00971586">
        <w:rPr>
          <w:rFonts w:ascii="Arial" w:hAnsi="Arial" w:cs="Arial"/>
          <w:sz w:val="24"/>
          <w:szCs w:val="24"/>
        </w:rPr>
        <w:t>on site</w:t>
      </w:r>
      <w:r w:rsidR="00B935BD" w:rsidRPr="00971586">
        <w:rPr>
          <w:rFonts w:ascii="Arial" w:hAnsi="Arial" w:cs="Arial"/>
          <w:sz w:val="24"/>
          <w:szCs w:val="24"/>
        </w:rPr>
        <w:t xml:space="preserve"> or an alternative senior manager is appointed</w:t>
      </w:r>
      <w:r w:rsidR="00F17F57" w:rsidRPr="00971586">
        <w:rPr>
          <w:rFonts w:ascii="Arial" w:hAnsi="Arial" w:cs="Arial"/>
          <w:sz w:val="24"/>
          <w:szCs w:val="24"/>
        </w:rPr>
        <w:t xml:space="preserve">.  </w:t>
      </w:r>
    </w:p>
    <w:p w:rsidR="00F85869" w:rsidRPr="00971586" w:rsidRDefault="00F85869" w:rsidP="00C7274D">
      <w:pPr>
        <w:spacing w:after="0"/>
        <w:rPr>
          <w:rFonts w:ascii="Arial" w:hAnsi="Arial" w:cs="Arial"/>
        </w:rPr>
      </w:pPr>
    </w:p>
    <w:p w:rsidR="00AB7EC0" w:rsidRDefault="00462432" w:rsidP="00C7274D">
      <w:pPr>
        <w:spacing w:after="0"/>
        <w:rPr>
          <w:rFonts w:ascii="Arial" w:hAnsi="Arial" w:cs="Arial"/>
          <w:sz w:val="24"/>
          <w:szCs w:val="24"/>
        </w:rPr>
      </w:pPr>
      <w:r w:rsidRPr="00971586">
        <w:rPr>
          <w:rFonts w:ascii="Arial" w:hAnsi="Arial" w:cs="Arial"/>
          <w:sz w:val="24"/>
          <w:szCs w:val="24"/>
        </w:rPr>
        <w:t xml:space="preserve">Silver </w:t>
      </w:r>
      <w:r w:rsidR="004926F3" w:rsidRPr="00971586">
        <w:rPr>
          <w:rFonts w:ascii="Arial" w:hAnsi="Arial" w:cs="Arial"/>
          <w:sz w:val="24"/>
          <w:szCs w:val="24"/>
        </w:rPr>
        <w:t>must have a comprehensive</w:t>
      </w:r>
      <w:r w:rsidR="00AB7EC0" w:rsidRPr="00971586">
        <w:rPr>
          <w:rFonts w:ascii="Arial" w:hAnsi="Arial" w:cs="Arial"/>
          <w:sz w:val="24"/>
          <w:szCs w:val="24"/>
        </w:rPr>
        <w:t xml:space="preserve"> knowledge of the </w:t>
      </w:r>
      <w:r w:rsidR="00A37C42" w:rsidRPr="00971586">
        <w:rPr>
          <w:rFonts w:ascii="Arial" w:hAnsi="Arial" w:cs="Arial"/>
          <w:sz w:val="24"/>
          <w:szCs w:val="24"/>
        </w:rPr>
        <w:t>RHN estate, sufficient operational knowledge of the services and individual wards</w:t>
      </w:r>
      <w:r w:rsidR="00AB7EC0" w:rsidRPr="00971586">
        <w:rPr>
          <w:rFonts w:ascii="Arial" w:hAnsi="Arial" w:cs="Arial"/>
          <w:sz w:val="24"/>
          <w:szCs w:val="24"/>
        </w:rPr>
        <w:t>, the RHN Major Incident P</w:t>
      </w:r>
      <w:r w:rsidR="00A37C42" w:rsidRPr="00971586">
        <w:rPr>
          <w:rFonts w:ascii="Arial" w:hAnsi="Arial" w:cs="Arial"/>
          <w:sz w:val="24"/>
          <w:szCs w:val="24"/>
        </w:rPr>
        <w:t>lan and the On-call protocol</w:t>
      </w:r>
      <w:r w:rsidR="00AB7EC0" w:rsidRPr="00971586">
        <w:rPr>
          <w:rFonts w:ascii="Arial" w:hAnsi="Arial" w:cs="Arial"/>
          <w:sz w:val="24"/>
          <w:szCs w:val="24"/>
        </w:rPr>
        <w:t xml:space="preserve">.  </w:t>
      </w:r>
      <w:r w:rsidR="00F17F57" w:rsidRPr="00971586">
        <w:rPr>
          <w:rFonts w:ascii="Arial" w:hAnsi="Arial" w:cs="Arial"/>
          <w:sz w:val="24"/>
          <w:szCs w:val="24"/>
        </w:rPr>
        <w:t>Silver will take direction from the Gold Commander but will be responsible for planning and co-ordinating the resources</w:t>
      </w:r>
      <w:r w:rsidR="00103E42" w:rsidRPr="00971586">
        <w:rPr>
          <w:rFonts w:ascii="Arial" w:hAnsi="Arial" w:cs="Arial"/>
          <w:sz w:val="24"/>
          <w:szCs w:val="24"/>
        </w:rPr>
        <w:t xml:space="preserve"> and delegating the activities</w:t>
      </w:r>
      <w:r w:rsidR="00F17F57" w:rsidRPr="00971586">
        <w:rPr>
          <w:rFonts w:ascii="Arial" w:hAnsi="Arial" w:cs="Arial"/>
          <w:sz w:val="24"/>
          <w:szCs w:val="24"/>
        </w:rPr>
        <w:t xml:space="preserve"> to respond to the major incident.  </w:t>
      </w:r>
      <w:r w:rsidR="004926F3" w:rsidRPr="00971586">
        <w:rPr>
          <w:rFonts w:ascii="Arial" w:hAnsi="Arial" w:cs="Arial"/>
          <w:sz w:val="24"/>
          <w:szCs w:val="24"/>
        </w:rPr>
        <w:t>The location of Silver will be a judgement for Gold and Silver but should be as close to the incident as is safe.</w:t>
      </w:r>
      <w:r w:rsidR="007C1D6F">
        <w:rPr>
          <w:rFonts w:ascii="Arial" w:hAnsi="Arial" w:cs="Arial"/>
          <w:sz w:val="24"/>
          <w:szCs w:val="24"/>
        </w:rPr>
        <w:tab/>
      </w:r>
    </w:p>
    <w:p w:rsidR="00966BB4" w:rsidRPr="00971586" w:rsidRDefault="00966BB4" w:rsidP="00C7274D">
      <w:pPr>
        <w:spacing w:after="0"/>
        <w:rPr>
          <w:rFonts w:ascii="Arial" w:hAnsi="Arial" w:cs="Arial"/>
          <w:b/>
          <w:sz w:val="24"/>
          <w:szCs w:val="24"/>
        </w:rPr>
      </w:pPr>
    </w:p>
    <w:p w:rsidR="00A2388D" w:rsidRPr="00971586" w:rsidRDefault="00A2388D" w:rsidP="00C7274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t xml:space="preserve">MAJOR </w:t>
      </w:r>
      <w:r w:rsidR="00E54F7D">
        <w:rPr>
          <w:rFonts w:ascii="Arial" w:hAnsi="Arial" w:cs="Arial"/>
          <w:b/>
          <w:sz w:val="28"/>
          <w:szCs w:val="28"/>
        </w:rPr>
        <w:t xml:space="preserve">OR CRITICAL </w:t>
      </w:r>
      <w:r w:rsidRPr="00971586">
        <w:rPr>
          <w:rFonts w:ascii="Arial" w:hAnsi="Arial" w:cs="Arial"/>
          <w:b/>
          <w:sz w:val="28"/>
          <w:szCs w:val="28"/>
        </w:rPr>
        <w:t xml:space="preserve">INCIDENT </w:t>
      </w:r>
      <w:r w:rsidR="00E85BA0" w:rsidRPr="00971586">
        <w:rPr>
          <w:rFonts w:ascii="Arial" w:hAnsi="Arial" w:cs="Arial"/>
          <w:b/>
          <w:sz w:val="28"/>
          <w:szCs w:val="28"/>
        </w:rPr>
        <w:t>DECLARED</w:t>
      </w:r>
    </w:p>
    <w:p w:rsidR="00B935BD" w:rsidRPr="00971586" w:rsidRDefault="00B935BD" w:rsidP="00C727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CA5C37" w:rsidRPr="00971586" w:rsidTr="00CA5C37">
        <w:tc>
          <w:tcPr>
            <w:tcW w:w="817" w:type="dxa"/>
            <w:shd w:val="clear" w:color="auto" w:fill="BFBFBF" w:themeFill="background1" w:themeFillShade="BF"/>
          </w:tcPr>
          <w:p w:rsidR="00B26FF1" w:rsidRPr="00971586" w:rsidRDefault="00B26FF1" w:rsidP="00C727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BFBFBF" w:themeFill="background1" w:themeFillShade="BF"/>
          </w:tcPr>
          <w:p w:rsidR="00B26FF1" w:rsidRPr="00971586" w:rsidRDefault="00B26FF1" w:rsidP="00C727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FF1" w:rsidRPr="00971586" w:rsidRDefault="00B26FF1" w:rsidP="00C727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586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B26FF1" w:rsidRPr="00971586" w:rsidRDefault="00B26FF1" w:rsidP="00C727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724D1" w:rsidRPr="00971586" w:rsidTr="00CA5C37">
        <w:tc>
          <w:tcPr>
            <w:tcW w:w="817" w:type="dxa"/>
          </w:tcPr>
          <w:p w:rsidR="00D724D1" w:rsidRPr="00971586" w:rsidRDefault="00D724D1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724D1" w:rsidRDefault="00D724D1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F16983" w:rsidRPr="00971586" w:rsidRDefault="00F16983" w:rsidP="00C727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Formally appoint a senior person on-site as the interim Silver Commander</w:t>
            </w:r>
          </w:p>
        </w:tc>
      </w:tr>
      <w:tr w:rsidR="00B74185" w:rsidRPr="00971586" w:rsidTr="00CA5C37">
        <w:tc>
          <w:tcPr>
            <w:tcW w:w="817" w:type="dxa"/>
          </w:tcPr>
          <w:p w:rsidR="00B74185" w:rsidRPr="00971586" w:rsidRDefault="00B7418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74185" w:rsidRDefault="00B74185" w:rsidP="00C727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Locate nearest major incident cupboard:</w:t>
            </w:r>
          </w:p>
          <w:p w:rsidR="00B74185" w:rsidRDefault="00B74185" w:rsidP="00B74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 w:rsidRPr="00B74185">
              <w:rPr>
                <w:rFonts w:ascii="Arial" w:hAnsi="Arial" w:cs="Arial"/>
                <w:sz w:val="28"/>
                <w:szCs w:val="28"/>
              </w:rPr>
              <w:t>Therapy</w:t>
            </w:r>
            <w:r>
              <w:rPr>
                <w:rFonts w:ascii="Arial" w:hAnsi="Arial" w:cs="Arial"/>
                <w:sz w:val="28"/>
                <w:szCs w:val="28"/>
              </w:rPr>
              <w:t xml:space="preserve"> Hub / Drapers wing</w:t>
            </w:r>
          </w:p>
          <w:p w:rsidR="00B74185" w:rsidRDefault="00B74185" w:rsidP="00B7418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Coombs stairwell</w:t>
            </w:r>
          </w:p>
          <w:p w:rsidR="00B74185" w:rsidRPr="00B74185" w:rsidRDefault="00B74185" w:rsidP="00B7418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Collect major incident file, action cards and high visibility vests </w:t>
            </w:r>
          </w:p>
        </w:tc>
      </w:tr>
      <w:tr w:rsidR="00B74185" w:rsidRPr="00971586" w:rsidTr="00CA5C37">
        <w:tc>
          <w:tcPr>
            <w:tcW w:w="817" w:type="dxa"/>
          </w:tcPr>
          <w:p w:rsidR="00B74185" w:rsidRPr="00971586" w:rsidRDefault="00B7418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B74185" w:rsidRDefault="00B74185" w:rsidP="00C727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Set up major incident room in either</w:t>
            </w:r>
          </w:p>
          <w:p w:rsidR="00B74185" w:rsidRDefault="00B74185" w:rsidP="00B741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Maxwell library</w:t>
            </w:r>
          </w:p>
          <w:p w:rsidR="00B74185" w:rsidRDefault="00B74185" w:rsidP="00B741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Executive meeting room</w:t>
            </w:r>
          </w:p>
          <w:p w:rsidR="00B74185" w:rsidRPr="00B74185" w:rsidRDefault="00B74185" w:rsidP="00B7418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Other safe location </w:t>
            </w:r>
          </w:p>
        </w:tc>
      </w:tr>
      <w:tr w:rsidR="007C1D6F" w:rsidRPr="00971586" w:rsidTr="00CA5C37">
        <w:tc>
          <w:tcPr>
            <w:tcW w:w="817" w:type="dxa"/>
          </w:tcPr>
          <w:p w:rsidR="007C1D6F" w:rsidRPr="00971586" w:rsidRDefault="007C1D6F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C1D6F" w:rsidRDefault="00E54F7D" w:rsidP="007836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 and chair meeting using meeting template and completing SITREP</w:t>
            </w:r>
          </w:p>
          <w:p w:rsidR="00E54F7D" w:rsidRPr="00971586" w:rsidRDefault="00E54F7D" w:rsidP="0078365E">
            <w:pPr>
              <w:rPr>
                <w:rFonts w:ascii="Arial" w:hAnsi="Arial" w:cs="Arial"/>
                <w:sz w:val="28"/>
                <w:szCs w:val="28"/>
              </w:rPr>
            </w:pPr>
          </w:p>
          <w:p w:rsidR="007C1D6F" w:rsidRPr="00C122E7" w:rsidRDefault="007C1D6F" w:rsidP="007836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Complete ‘METHANE’ sitrep information for</w:t>
            </w:r>
            <w:r w:rsidRPr="00C122E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Gold </w:t>
            </w:r>
            <w:r w:rsidRPr="00C122E7">
              <w:rPr>
                <w:rFonts w:ascii="Arial" w:hAnsi="Arial" w:cs="Arial"/>
                <w:sz w:val="28"/>
                <w:szCs w:val="28"/>
              </w:rPr>
              <w:t>Commander</w:t>
            </w:r>
            <w:r w:rsidR="00995415">
              <w:rPr>
                <w:rFonts w:ascii="Arial" w:hAnsi="Arial" w:cs="Arial"/>
                <w:sz w:val="28"/>
                <w:szCs w:val="28"/>
              </w:rPr>
              <w:t xml:space="preserve"> and Emergency Services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7C1D6F" w:rsidRPr="00C122E7" w:rsidRDefault="007C1D6F" w:rsidP="0078365E">
            <w:pPr>
              <w:rPr>
                <w:rFonts w:ascii="Arial" w:hAnsi="Arial" w:cs="Arial"/>
                <w:sz w:val="28"/>
                <w:szCs w:val="28"/>
              </w:rPr>
            </w:pP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ajor Incident declared?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xact location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ype of incident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azards present or suspected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ccess – routes that are safe to use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umber, type and severity of casualties</w:t>
            </w:r>
          </w:p>
          <w:p w:rsidR="007C1D6F" w:rsidRPr="00C122E7" w:rsidRDefault="007C1D6F" w:rsidP="0078365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mergency Services present and those required</w:t>
            </w:r>
          </w:p>
          <w:p w:rsidR="007C1D6F" w:rsidRPr="00B04756" w:rsidRDefault="007C1D6F" w:rsidP="0078365E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C1D6F" w:rsidRPr="00971586" w:rsidTr="00CA5C37">
        <w:tc>
          <w:tcPr>
            <w:tcW w:w="817" w:type="dxa"/>
          </w:tcPr>
          <w:p w:rsidR="007C1D6F" w:rsidRPr="00971586" w:rsidRDefault="007C1D6F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7C1D6F" w:rsidRPr="00971586" w:rsidRDefault="007C1D6F" w:rsidP="00B26F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C1D6F" w:rsidRPr="00971586" w:rsidRDefault="007C1D6F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7C1D6F" w:rsidRPr="00971586" w:rsidRDefault="007C1D6F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Advise appropriate Emergency Services and provide your contact details 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78365E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E54F7D" w:rsidP="007836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Appoint Loggist and commence Major Incident Event Log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Establish telephone contact with most senior person at scene of incident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Record contact det</w:t>
            </w:r>
            <w:r>
              <w:rPr>
                <w:rFonts w:ascii="Arial" w:hAnsi="Arial" w:cs="Arial"/>
                <w:sz w:val="28"/>
                <w:szCs w:val="28"/>
              </w:rPr>
              <w:t>ails for senior</w:t>
            </w:r>
            <w:r w:rsidRPr="00971586">
              <w:rPr>
                <w:rFonts w:ascii="Arial" w:hAnsi="Arial" w:cs="Arial"/>
                <w:sz w:val="28"/>
                <w:szCs w:val="28"/>
              </w:rPr>
              <w:t xml:space="preserve"> person at scene of incident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Make contact with Gold Commander </w:t>
            </w:r>
            <w:r w:rsidR="00E54F7D">
              <w:rPr>
                <w:rFonts w:ascii="Arial" w:hAnsi="Arial" w:cs="Arial"/>
                <w:sz w:val="28"/>
                <w:szCs w:val="28"/>
              </w:rPr>
              <w:t>– establish level of incident declared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B26F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E54F7D" w:rsidP="00C727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Consider and initiate </w:t>
            </w:r>
            <w:r w:rsidR="00995415" w:rsidRPr="00971586">
              <w:rPr>
                <w:rFonts w:ascii="Arial" w:hAnsi="Arial" w:cs="Arial"/>
                <w:sz w:val="28"/>
                <w:szCs w:val="28"/>
              </w:rPr>
              <w:t xml:space="preserve"> Emergency Staff Call-in Cascade</w:t>
            </w:r>
            <w:r>
              <w:rPr>
                <w:rFonts w:ascii="Arial" w:hAnsi="Arial" w:cs="Arial"/>
                <w:sz w:val="28"/>
                <w:szCs w:val="28"/>
              </w:rPr>
              <w:t xml:space="preserve"> if required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Activate RHN emergency phone-in line with appropriate recorded message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B26F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Nominate and assemble staff in Major Incident Control Room for required operational roles: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Bronze Nurse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Bronze Security and Transport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Bronze Communications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 xml:space="preserve">Bronze Doctor 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Bronze Evacuation or Invacuation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Loggists</w:t>
            </w:r>
          </w:p>
          <w:p w:rsidR="00995415" w:rsidRPr="00971586" w:rsidRDefault="00995415" w:rsidP="00FD66A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4"/>
                <w:szCs w:val="24"/>
              </w:rPr>
              <w:t>Runners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1C3906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Assign operational activities to members of Bronze Command Team, as appropriate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B26FF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Pass ‘METHANE’</w:t>
            </w:r>
            <w:r w:rsidRPr="00971586">
              <w:rPr>
                <w:rFonts w:ascii="Arial" w:hAnsi="Arial" w:cs="Arial"/>
                <w:sz w:val="28"/>
                <w:szCs w:val="28"/>
              </w:rPr>
              <w:t xml:space="preserve"> information to Emergency Services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A81A19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A81A19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Close Hospital to admissions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A81A19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A81A19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Escort visitors, volunteers and contractors off site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E54F7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Consider closure of </w:t>
            </w:r>
            <w:r w:rsidR="00E54F7D">
              <w:rPr>
                <w:rFonts w:ascii="Arial" w:hAnsi="Arial" w:cs="Arial"/>
                <w:sz w:val="28"/>
                <w:szCs w:val="28"/>
              </w:rPr>
              <w:t>RHN</w:t>
            </w:r>
            <w:r w:rsidRPr="00971586">
              <w:rPr>
                <w:rFonts w:ascii="Arial" w:hAnsi="Arial" w:cs="Arial"/>
                <w:sz w:val="28"/>
                <w:szCs w:val="28"/>
              </w:rPr>
              <w:t xml:space="preserve"> site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Inform </w:t>
            </w:r>
            <w:r w:rsidR="00E54F7D">
              <w:rPr>
                <w:rFonts w:ascii="Arial" w:hAnsi="Arial" w:cs="Arial"/>
                <w:sz w:val="28"/>
                <w:szCs w:val="28"/>
              </w:rPr>
              <w:t xml:space="preserve">SWL incident control room of Sitrep and potential support required </w:t>
            </w:r>
          </w:p>
          <w:p w:rsidR="00995415" w:rsidRPr="00971586" w:rsidRDefault="00995415" w:rsidP="00C727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Inform other emergency contacts</w:t>
            </w:r>
            <w:r w:rsidR="00E54F7D">
              <w:rPr>
                <w:rFonts w:ascii="Arial" w:hAnsi="Arial" w:cs="Arial"/>
                <w:sz w:val="28"/>
                <w:szCs w:val="28"/>
              </w:rPr>
              <w:t xml:space="preserve"> as required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Collate information updates for sitreps and report progress to Gold Commander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Lead regular communications briefing for staff 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D5455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Pass any media releases and website content to Gold Commander for approval and issue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Analyse business continuity risks re</w:t>
            </w:r>
            <w:r>
              <w:rPr>
                <w:rFonts w:ascii="Arial" w:hAnsi="Arial" w:cs="Arial"/>
                <w:sz w:val="28"/>
                <w:szCs w:val="28"/>
              </w:rPr>
              <w:t xml:space="preserve">gularly and liaise with </w:t>
            </w:r>
            <w:r w:rsidRPr="00971586">
              <w:rPr>
                <w:rFonts w:ascii="Arial" w:hAnsi="Arial" w:cs="Arial"/>
                <w:sz w:val="28"/>
                <w:szCs w:val="28"/>
              </w:rPr>
              <w:t>Bronze Command Team to activate plans as necessary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Maintain contact with most senior member of staff at the incident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Assign responsibility to contact patients next of kin or emergency contact nominees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Assign member of Bronze Command Team to inform Commissioners that Major </w:t>
            </w:r>
            <w:r w:rsidR="00E54F7D">
              <w:rPr>
                <w:rFonts w:ascii="Arial" w:hAnsi="Arial" w:cs="Arial"/>
                <w:sz w:val="28"/>
                <w:szCs w:val="28"/>
              </w:rPr>
              <w:t xml:space="preserve">or Critical </w:t>
            </w:r>
            <w:r w:rsidRPr="00971586">
              <w:rPr>
                <w:rFonts w:ascii="Arial" w:hAnsi="Arial" w:cs="Arial"/>
                <w:sz w:val="28"/>
                <w:szCs w:val="28"/>
              </w:rPr>
              <w:t>Incident has been declared (if Gold Commander instructs)</w:t>
            </w:r>
          </w:p>
        </w:tc>
      </w:tr>
      <w:tr w:rsidR="00995415" w:rsidRPr="00971586" w:rsidTr="00CA5C37">
        <w:tc>
          <w:tcPr>
            <w:tcW w:w="817" w:type="dxa"/>
          </w:tcPr>
          <w:p w:rsidR="00995415" w:rsidRPr="00971586" w:rsidRDefault="00995415" w:rsidP="00B26F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415" w:rsidRPr="00971586" w:rsidRDefault="00995415" w:rsidP="00C7274D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Plan a rota if the incident is protracted</w:t>
            </w:r>
          </w:p>
        </w:tc>
      </w:tr>
    </w:tbl>
    <w:p w:rsidR="00006EDD" w:rsidRPr="00971586" w:rsidRDefault="00006EDD" w:rsidP="00994A19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521335" w:rsidRPr="00971586" w:rsidRDefault="00521335" w:rsidP="00A81A19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9D5D34" w:rsidRDefault="009D5D34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E54F7D" w:rsidRPr="00971586" w:rsidRDefault="00E54F7D" w:rsidP="00C7274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:rsidR="004E47FD" w:rsidRPr="00971586" w:rsidRDefault="00160CC4" w:rsidP="0060529A">
      <w:pPr>
        <w:pStyle w:val="ListParagraph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t>Evacuation</w:t>
      </w:r>
    </w:p>
    <w:p w:rsidR="00160CC4" w:rsidRPr="00971586" w:rsidRDefault="00160CC4" w:rsidP="0060529A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971586">
        <w:rPr>
          <w:rFonts w:ascii="Arial" w:hAnsi="Arial" w:cs="Arial"/>
          <w:sz w:val="24"/>
          <w:szCs w:val="24"/>
        </w:rPr>
        <w:t xml:space="preserve">In the event that off-campus evacuation to a crisis shelter becomes </w:t>
      </w:r>
      <w:r w:rsidR="009D5D34" w:rsidRPr="00971586">
        <w:rPr>
          <w:rFonts w:ascii="Arial" w:hAnsi="Arial" w:cs="Arial"/>
          <w:sz w:val="24"/>
          <w:szCs w:val="24"/>
        </w:rPr>
        <w:t>necessary then the Silver Commander should</w:t>
      </w:r>
      <w:r w:rsidR="00545B0E" w:rsidRPr="00971586">
        <w:rPr>
          <w:rFonts w:ascii="Arial" w:hAnsi="Arial" w:cs="Arial"/>
          <w:sz w:val="24"/>
          <w:szCs w:val="24"/>
        </w:rPr>
        <w:t xml:space="preserve"> consider these additional actions if required</w:t>
      </w:r>
      <w:r w:rsidR="009D5D34" w:rsidRPr="00971586">
        <w:rPr>
          <w:rFonts w:ascii="Arial" w:hAnsi="Arial" w:cs="Arial"/>
          <w:sz w:val="24"/>
          <w:szCs w:val="24"/>
        </w:rPr>
        <w:t>:</w:t>
      </w:r>
    </w:p>
    <w:p w:rsidR="00160CC4" w:rsidRPr="00971586" w:rsidRDefault="00160CC4" w:rsidP="0060529A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60529A" w:rsidRPr="00971586" w:rsidTr="0060529A">
        <w:tc>
          <w:tcPr>
            <w:tcW w:w="817" w:type="dxa"/>
            <w:shd w:val="clear" w:color="auto" w:fill="BFBFBF" w:themeFill="background1" w:themeFillShade="BF"/>
          </w:tcPr>
          <w:p w:rsidR="0060529A" w:rsidRPr="00971586" w:rsidRDefault="0060529A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BFBFBF" w:themeFill="background1" w:themeFillShade="BF"/>
          </w:tcPr>
          <w:p w:rsidR="0060529A" w:rsidRPr="00971586" w:rsidRDefault="0060529A" w:rsidP="0060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529A" w:rsidRPr="00971586" w:rsidRDefault="0060529A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586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60529A" w:rsidRPr="00971586" w:rsidRDefault="0060529A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529A" w:rsidRPr="00971586" w:rsidTr="0060529A">
        <w:tc>
          <w:tcPr>
            <w:tcW w:w="817" w:type="dxa"/>
          </w:tcPr>
          <w:p w:rsidR="0060529A" w:rsidRPr="00971586" w:rsidRDefault="0060529A" w:rsidP="006052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60529A" w:rsidRPr="00971586" w:rsidRDefault="0060529A" w:rsidP="0060529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B2DC3" w:rsidRPr="00971586" w:rsidRDefault="00DB2DC3" w:rsidP="00DB2DC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60529A" w:rsidRPr="00971586" w:rsidRDefault="00DB2DC3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Delegate a senior member of staff to become Bronze Evacuation </w:t>
            </w:r>
          </w:p>
        </w:tc>
      </w:tr>
      <w:tr w:rsidR="00DB2DC3" w:rsidRPr="00971586" w:rsidTr="0060529A">
        <w:tc>
          <w:tcPr>
            <w:tcW w:w="817" w:type="dxa"/>
          </w:tcPr>
          <w:p w:rsidR="00DB2DC3" w:rsidRPr="00971586" w:rsidRDefault="00DB2DC3" w:rsidP="006052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B2DC3" w:rsidRPr="00971586" w:rsidRDefault="00DB2DC3" w:rsidP="00DB2DC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DB2DC3" w:rsidRPr="00971586" w:rsidRDefault="00DB2DC3" w:rsidP="00E54F7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Decide if the evacuation triage and transfer centre will be Drapers </w:t>
            </w:r>
            <w:r w:rsidR="00E54F7D">
              <w:rPr>
                <w:rFonts w:ascii="Arial" w:hAnsi="Arial" w:cs="Arial"/>
                <w:sz w:val="28"/>
                <w:szCs w:val="28"/>
              </w:rPr>
              <w:t>Therapy Hub</w:t>
            </w:r>
            <w:r w:rsidRPr="00971586">
              <w:rPr>
                <w:rFonts w:ascii="Arial" w:hAnsi="Arial" w:cs="Arial"/>
                <w:sz w:val="28"/>
                <w:szCs w:val="28"/>
              </w:rPr>
              <w:t>, the Assembly Room or Holy Trinity Church.  Inform Bronze Evacuation of the decision</w:t>
            </w:r>
            <w:r w:rsidR="00E6529D" w:rsidRPr="00971586">
              <w:rPr>
                <w:rFonts w:ascii="Arial" w:hAnsi="Arial" w:cs="Arial"/>
                <w:sz w:val="28"/>
                <w:szCs w:val="28"/>
              </w:rPr>
              <w:tab/>
            </w:r>
            <w:r w:rsidR="00E6529D" w:rsidRPr="00971586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DB2DC3" w:rsidRPr="00971586" w:rsidTr="0060529A">
        <w:tc>
          <w:tcPr>
            <w:tcW w:w="817" w:type="dxa"/>
          </w:tcPr>
          <w:p w:rsidR="00DB2DC3" w:rsidRPr="00971586" w:rsidRDefault="00DB2DC3" w:rsidP="006052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DB2DC3" w:rsidRPr="00971586" w:rsidRDefault="00DB2DC3" w:rsidP="00DB2DC3">
            <w:pPr>
              <w:rPr>
                <w:rFonts w:ascii="Arial" w:hAnsi="Arial" w:cs="Arial"/>
                <w:sz w:val="28"/>
                <w:szCs w:val="28"/>
              </w:rPr>
            </w:pPr>
          </w:p>
          <w:p w:rsidR="00DB2DC3" w:rsidRPr="00971586" w:rsidRDefault="00E54F7D" w:rsidP="00DB2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Liaise with SWL to establish appropriate evacuation partner(s)</w:t>
            </w:r>
          </w:p>
          <w:p w:rsidR="00DB2DC3" w:rsidRPr="00971586" w:rsidRDefault="00DB2DC3" w:rsidP="00DB2DC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6983" w:rsidRPr="00971586" w:rsidTr="0060529A">
        <w:tc>
          <w:tcPr>
            <w:tcW w:w="817" w:type="dxa"/>
          </w:tcPr>
          <w:p w:rsidR="00F16983" w:rsidRPr="00971586" w:rsidRDefault="00F16983" w:rsidP="006052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16983" w:rsidRPr="00971586" w:rsidRDefault="00F16983" w:rsidP="0078365E">
            <w:pPr>
              <w:rPr>
                <w:rFonts w:ascii="Arial" w:hAnsi="Arial" w:cs="Arial"/>
                <w:sz w:val="28"/>
                <w:szCs w:val="28"/>
              </w:rPr>
            </w:pPr>
          </w:p>
          <w:p w:rsidR="00F16983" w:rsidRPr="00971586" w:rsidRDefault="00F16983" w:rsidP="0078365E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Inform the RHN Chaplain that the RHN Evacuation Plan has been initiated</w:t>
            </w:r>
          </w:p>
        </w:tc>
      </w:tr>
      <w:tr w:rsidR="00F16983" w:rsidRPr="00971586" w:rsidTr="0060529A">
        <w:tc>
          <w:tcPr>
            <w:tcW w:w="817" w:type="dxa"/>
          </w:tcPr>
          <w:p w:rsidR="00F16983" w:rsidRPr="00971586" w:rsidRDefault="00F16983" w:rsidP="006052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F16983" w:rsidRPr="00971586" w:rsidRDefault="00F16983" w:rsidP="00DB2DC3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F16983" w:rsidRPr="00971586" w:rsidRDefault="00F16983" w:rsidP="00DB2DC3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Maintain communication with Bronze Evacuation </w:t>
            </w:r>
          </w:p>
        </w:tc>
      </w:tr>
    </w:tbl>
    <w:p w:rsidR="0060529A" w:rsidRPr="00971586" w:rsidRDefault="0060529A" w:rsidP="0060529A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p w:rsidR="00994A19" w:rsidRPr="00971586" w:rsidRDefault="00994A19">
      <w:pPr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br w:type="page"/>
      </w:r>
    </w:p>
    <w:p w:rsidR="00905B00" w:rsidRPr="00971586" w:rsidRDefault="00905B00" w:rsidP="009C76C0">
      <w:pPr>
        <w:pStyle w:val="ListParagraph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t>Invacuation</w:t>
      </w:r>
    </w:p>
    <w:p w:rsidR="009C76C0" w:rsidRPr="00971586" w:rsidRDefault="00545B0E" w:rsidP="002B13D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971586">
        <w:rPr>
          <w:rFonts w:ascii="Arial" w:hAnsi="Arial" w:cs="Arial"/>
          <w:sz w:val="24"/>
          <w:szCs w:val="24"/>
        </w:rPr>
        <w:t>In the event of an agreed invacuation from a reciprocal partner, the Silver Commander should consider these additional actions if required:</w:t>
      </w:r>
    </w:p>
    <w:p w:rsidR="009C76C0" w:rsidRPr="00971586" w:rsidRDefault="009C76C0" w:rsidP="002B13D7">
      <w:pPr>
        <w:pStyle w:val="ListParagraph"/>
        <w:spacing w:after="0"/>
        <w:ind w:left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2B13D7" w:rsidRPr="00971586" w:rsidTr="001E6881">
        <w:tc>
          <w:tcPr>
            <w:tcW w:w="817" w:type="dxa"/>
            <w:shd w:val="clear" w:color="auto" w:fill="BFBFBF" w:themeFill="background1" w:themeFillShade="BF"/>
          </w:tcPr>
          <w:p w:rsidR="002B13D7" w:rsidRPr="00971586" w:rsidRDefault="002B13D7" w:rsidP="001E68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BFBFBF" w:themeFill="background1" w:themeFillShade="BF"/>
          </w:tcPr>
          <w:p w:rsidR="002B13D7" w:rsidRPr="00971586" w:rsidRDefault="002B13D7" w:rsidP="001E68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586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2B13D7" w:rsidRPr="00971586" w:rsidRDefault="002B13D7" w:rsidP="001E688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13D7" w:rsidRPr="00971586" w:rsidTr="001E6881">
        <w:tc>
          <w:tcPr>
            <w:tcW w:w="817" w:type="dxa"/>
          </w:tcPr>
          <w:p w:rsidR="002B13D7" w:rsidRPr="00971586" w:rsidRDefault="002B13D7" w:rsidP="002B13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B13D7" w:rsidRPr="00971586" w:rsidRDefault="002B13D7" w:rsidP="001E688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 xml:space="preserve">Delegate a senior member of staff to become Bronze Invacuation </w:t>
            </w:r>
          </w:p>
        </w:tc>
      </w:tr>
      <w:tr w:rsidR="002B13D7" w:rsidRPr="00971586" w:rsidTr="001E6881">
        <w:tc>
          <w:tcPr>
            <w:tcW w:w="817" w:type="dxa"/>
          </w:tcPr>
          <w:p w:rsidR="002B13D7" w:rsidRPr="00971586" w:rsidRDefault="002B13D7" w:rsidP="002B13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Liaise with Gold Commander to decide if RHN will permit its vehicles to be used in assisting invacuation by reciprocal partner</w:t>
            </w:r>
          </w:p>
        </w:tc>
      </w:tr>
      <w:tr w:rsidR="002B13D7" w:rsidRPr="00971586" w:rsidTr="001E6881">
        <w:tc>
          <w:tcPr>
            <w:tcW w:w="817" w:type="dxa"/>
          </w:tcPr>
          <w:p w:rsidR="002B13D7" w:rsidRPr="00971586" w:rsidRDefault="002B13D7" w:rsidP="002B13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Inform Bronze Security and Transport of decision</w:t>
            </w:r>
          </w:p>
        </w:tc>
      </w:tr>
      <w:tr w:rsidR="002B13D7" w:rsidRPr="00971586" w:rsidTr="001E6881">
        <w:tc>
          <w:tcPr>
            <w:tcW w:w="817" w:type="dxa"/>
          </w:tcPr>
          <w:p w:rsidR="002B13D7" w:rsidRPr="00971586" w:rsidRDefault="002B13D7" w:rsidP="002B13D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</w:p>
          <w:p w:rsidR="002B13D7" w:rsidRPr="00971586" w:rsidRDefault="002B13D7" w:rsidP="001E6881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Maintain regular communication with Bronze Invacuation</w:t>
            </w:r>
          </w:p>
        </w:tc>
      </w:tr>
    </w:tbl>
    <w:p w:rsidR="002B13D7" w:rsidRPr="00971586" w:rsidRDefault="002B13D7" w:rsidP="002B13D7">
      <w:pPr>
        <w:pStyle w:val="ListParagraph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9D0342" w:rsidRPr="00971586" w:rsidRDefault="009D0342" w:rsidP="00545B0E">
      <w:pPr>
        <w:pStyle w:val="ListParagraph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971586">
        <w:rPr>
          <w:rFonts w:ascii="Arial" w:hAnsi="Arial" w:cs="Arial"/>
          <w:b/>
          <w:sz w:val="28"/>
          <w:szCs w:val="28"/>
        </w:rPr>
        <w:t>Stand Down</w:t>
      </w:r>
    </w:p>
    <w:p w:rsidR="009D0342" w:rsidRPr="00971586" w:rsidRDefault="009D0342" w:rsidP="00B935BD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971586">
        <w:rPr>
          <w:rFonts w:ascii="Arial" w:hAnsi="Arial" w:cs="Arial"/>
          <w:sz w:val="24"/>
          <w:szCs w:val="24"/>
        </w:rPr>
        <w:t>Once the risk to the health of</w:t>
      </w:r>
      <w:r w:rsidR="008F374C" w:rsidRPr="00971586">
        <w:rPr>
          <w:rFonts w:ascii="Arial" w:hAnsi="Arial" w:cs="Arial"/>
          <w:sz w:val="24"/>
          <w:szCs w:val="24"/>
        </w:rPr>
        <w:t xml:space="preserve"> the RHN community and </w:t>
      </w:r>
      <w:r w:rsidRPr="00971586">
        <w:rPr>
          <w:rFonts w:ascii="Arial" w:hAnsi="Arial" w:cs="Arial"/>
          <w:sz w:val="24"/>
          <w:szCs w:val="24"/>
        </w:rPr>
        <w:t>property is reduced and there is no longer a risk of the major incide</w:t>
      </w:r>
      <w:r w:rsidR="008F374C" w:rsidRPr="00971586">
        <w:rPr>
          <w:rFonts w:ascii="Arial" w:hAnsi="Arial" w:cs="Arial"/>
          <w:sz w:val="24"/>
          <w:szCs w:val="24"/>
        </w:rPr>
        <w:t xml:space="preserve">nt leading to </w:t>
      </w:r>
      <w:r w:rsidR="002B13D7" w:rsidRPr="00971586">
        <w:rPr>
          <w:rFonts w:ascii="Arial" w:hAnsi="Arial" w:cs="Arial"/>
          <w:sz w:val="24"/>
          <w:szCs w:val="24"/>
        </w:rPr>
        <w:t xml:space="preserve">further </w:t>
      </w:r>
      <w:r w:rsidR="008F374C" w:rsidRPr="00971586">
        <w:rPr>
          <w:rFonts w:ascii="Arial" w:hAnsi="Arial" w:cs="Arial"/>
          <w:sz w:val="24"/>
          <w:szCs w:val="24"/>
        </w:rPr>
        <w:t xml:space="preserve">casualties, </w:t>
      </w:r>
      <w:r w:rsidR="00462432" w:rsidRPr="00971586">
        <w:rPr>
          <w:rFonts w:ascii="Arial" w:hAnsi="Arial" w:cs="Arial"/>
          <w:sz w:val="24"/>
          <w:szCs w:val="24"/>
        </w:rPr>
        <w:t>Silver</w:t>
      </w:r>
      <w:r w:rsidR="008F374C" w:rsidRPr="00971586">
        <w:rPr>
          <w:rFonts w:ascii="Arial" w:hAnsi="Arial" w:cs="Arial"/>
          <w:sz w:val="24"/>
          <w:szCs w:val="24"/>
        </w:rPr>
        <w:t xml:space="preserve"> Commander</w:t>
      </w:r>
      <w:r w:rsidRPr="00971586">
        <w:rPr>
          <w:rFonts w:ascii="Arial" w:hAnsi="Arial" w:cs="Arial"/>
          <w:sz w:val="24"/>
          <w:szCs w:val="24"/>
        </w:rPr>
        <w:t xml:space="preserve"> can announce a stand down from the major incident status. </w:t>
      </w:r>
    </w:p>
    <w:p w:rsidR="00B935BD" w:rsidRPr="00971586" w:rsidRDefault="00B935BD" w:rsidP="00C7274D">
      <w:pPr>
        <w:pStyle w:val="ListParagraph"/>
        <w:spacing w:after="0"/>
        <w:rPr>
          <w:rFonts w:ascii="Arial" w:hAnsi="Arial" w:cs="Arial"/>
        </w:rPr>
      </w:pP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855FAE" w:rsidRPr="00971586" w:rsidTr="00855FAE">
        <w:tc>
          <w:tcPr>
            <w:tcW w:w="817" w:type="dxa"/>
            <w:shd w:val="clear" w:color="auto" w:fill="BFBFBF" w:themeFill="background1" w:themeFillShade="BF"/>
          </w:tcPr>
          <w:p w:rsidR="00855FAE" w:rsidRPr="00971586" w:rsidRDefault="00855FAE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01" w:type="dxa"/>
            <w:shd w:val="clear" w:color="auto" w:fill="BFBFBF" w:themeFill="background1" w:themeFillShade="BF"/>
          </w:tcPr>
          <w:p w:rsidR="00855FAE" w:rsidRPr="00971586" w:rsidRDefault="00855FAE" w:rsidP="00605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586">
              <w:rPr>
                <w:rFonts w:ascii="Arial" w:hAnsi="Arial" w:cs="Arial"/>
                <w:b/>
                <w:sz w:val="28"/>
                <w:szCs w:val="28"/>
              </w:rPr>
              <w:t>Action</w:t>
            </w:r>
          </w:p>
          <w:p w:rsidR="00855FAE" w:rsidRPr="00971586" w:rsidRDefault="00855FAE" w:rsidP="0060529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55FAE" w:rsidRPr="00971586" w:rsidTr="0060529A">
        <w:tc>
          <w:tcPr>
            <w:tcW w:w="817" w:type="dxa"/>
          </w:tcPr>
          <w:p w:rsidR="00855FAE" w:rsidRPr="00971586" w:rsidRDefault="00855FAE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Request approval from Gold Commander to declare Major Incident stand-down</w:t>
            </w:r>
          </w:p>
        </w:tc>
      </w:tr>
      <w:tr w:rsidR="00855FAE" w:rsidRPr="00971586" w:rsidTr="0060529A">
        <w:tc>
          <w:tcPr>
            <w:tcW w:w="817" w:type="dxa"/>
          </w:tcPr>
          <w:p w:rsidR="00855FAE" w:rsidRPr="00971586" w:rsidRDefault="00855FAE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Inform all staff and partner organisations that Major Incident is over</w:t>
            </w:r>
          </w:p>
        </w:tc>
      </w:tr>
      <w:tr w:rsidR="00855FAE" w:rsidRPr="00971586" w:rsidTr="0060529A">
        <w:tc>
          <w:tcPr>
            <w:tcW w:w="817" w:type="dxa"/>
          </w:tcPr>
          <w:p w:rsidR="00855FAE" w:rsidRPr="00971586" w:rsidRDefault="00855FAE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Complete Major Incident Log and store safely</w:t>
            </w:r>
          </w:p>
        </w:tc>
      </w:tr>
      <w:tr w:rsidR="00855FAE" w:rsidRPr="00971586" w:rsidTr="0060529A">
        <w:tc>
          <w:tcPr>
            <w:tcW w:w="817" w:type="dxa"/>
          </w:tcPr>
          <w:p w:rsidR="00855FAE" w:rsidRPr="00971586" w:rsidRDefault="00855FAE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De-activate RHN emergency phone-in and amend recorded message</w:t>
            </w:r>
          </w:p>
        </w:tc>
      </w:tr>
      <w:tr w:rsidR="00855FAE" w:rsidRPr="00971586" w:rsidTr="0060529A">
        <w:tc>
          <w:tcPr>
            <w:tcW w:w="817" w:type="dxa"/>
          </w:tcPr>
          <w:p w:rsidR="00855FAE" w:rsidRPr="00971586" w:rsidRDefault="00855FAE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855FAE" w:rsidRPr="00971586" w:rsidRDefault="00855FAE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Initiate ward, service or organisation level business continuity plan as assessed</w:t>
            </w:r>
          </w:p>
        </w:tc>
      </w:tr>
      <w:tr w:rsidR="007E201C" w:rsidRPr="00971586" w:rsidTr="0060529A">
        <w:tc>
          <w:tcPr>
            <w:tcW w:w="817" w:type="dxa"/>
          </w:tcPr>
          <w:p w:rsidR="007E201C" w:rsidRPr="00971586" w:rsidRDefault="007E201C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7E201C" w:rsidRPr="00971586" w:rsidRDefault="007E201C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7E201C" w:rsidRPr="00971586" w:rsidRDefault="007E201C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Ensure all emergency arrangements have been de-activated</w:t>
            </w:r>
          </w:p>
        </w:tc>
      </w:tr>
      <w:tr w:rsidR="00995FBC" w:rsidRPr="00971586" w:rsidTr="0060529A">
        <w:tc>
          <w:tcPr>
            <w:tcW w:w="817" w:type="dxa"/>
          </w:tcPr>
          <w:p w:rsidR="00995FBC" w:rsidRPr="00971586" w:rsidRDefault="00995FBC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Initia</w:t>
            </w:r>
            <w:r w:rsidR="00E545B7">
              <w:rPr>
                <w:rFonts w:ascii="Arial" w:hAnsi="Arial" w:cs="Arial"/>
                <w:sz w:val="28"/>
                <w:szCs w:val="28"/>
              </w:rPr>
              <w:t xml:space="preserve">te hot de-brief with </w:t>
            </w:r>
            <w:r w:rsidRPr="00971586">
              <w:rPr>
                <w:rFonts w:ascii="Arial" w:hAnsi="Arial" w:cs="Arial"/>
                <w:sz w:val="28"/>
                <w:szCs w:val="28"/>
              </w:rPr>
              <w:t>Bro</w:t>
            </w:r>
            <w:r w:rsidR="00E545B7">
              <w:rPr>
                <w:rFonts w:ascii="Arial" w:hAnsi="Arial" w:cs="Arial"/>
                <w:sz w:val="28"/>
                <w:szCs w:val="28"/>
              </w:rPr>
              <w:t>nze Command Team</w:t>
            </w:r>
          </w:p>
        </w:tc>
      </w:tr>
    </w:tbl>
    <w:p w:rsidR="00043248" w:rsidRPr="00971586" w:rsidRDefault="00043248">
      <w:pPr>
        <w:rPr>
          <w:rFonts w:ascii="Arial" w:hAnsi="Arial" w:cs="Arial"/>
        </w:rPr>
      </w:pPr>
      <w:r w:rsidRPr="00971586">
        <w:rPr>
          <w:rFonts w:ascii="Arial" w:hAnsi="Arial" w:cs="Arial"/>
        </w:rPr>
        <w:br w:type="page"/>
      </w:r>
    </w:p>
    <w:tbl>
      <w:tblPr>
        <w:tblStyle w:val="TableGrid"/>
        <w:tblW w:w="9718" w:type="dxa"/>
        <w:tblLayout w:type="fixed"/>
        <w:tblLook w:val="04A0" w:firstRow="1" w:lastRow="0" w:firstColumn="1" w:lastColumn="0" w:noHBand="0" w:noVBand="1"/>
      </w:tblPr>
      <w:tblGrid>
        <w:gridCol w:w="817"/>
        <w:gridCol w:w="8901"/>
      </w:tblGrid>
      <w:tr w:rsidR="00995FBC" w:rsidRPr="00971586" w:rsidTr="0060529A">
        <w:tc>
          <w:tcPr>
            <w:tcW w:w="817" w:type="dxa"/>
          </w:tcPr>
          <w:p w:rsidR="00995FBC" w:rsidRPr="00971586" w:rsidRDefault="00995FBC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Contribute to organisational debrief</w:t>
            </w:r>
          </w:p>
        </w:tc>
      </w:tr>
      <w:tr w:rsidR="00995FBC" w:rsidRPr="00971586" w:rsidTr="0060529A">
        <w:tc>
          <w:tcPr>
            <w:tcW w:w="817" w:type="dxa"/>
          </w:tcPr>
          <w:p w:rsidR="00995FBC" w:rsidRPr="00971586" w:rsidRDefault="00995FBC" w:rsidP="00855F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01" w:type="dxa"/>
          </w:tcPr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</w:p>
          <w:p w:rsidR="00995FBC" w:rsidRPr="00971586" w:rsidRDefault="00995FBC" w:rsidP="0060529A">
            <w:pPr>
              <w:rPr>
                <w:rFonts w:ascii="Arial" w:hAnsi="Arial" w:cs="Arial"/>
                <w:sz w:val="28"/>
                <w:szCs w:val="28"/>
              </w:rPr>
            </w:pPr>
            <w:r w:rsidRPr="00971586">
              <w:rPr>
                <w:rFonts w:ascii="Arial" w:hAnsi="Arial" w:cs="Arial"/>
                <w:sz w:val="28"/>
                <w:szCs w:val="28"/>
              </w:rPr>
              <w:t>Contribute to RHN Lessons Learned events</w:t>
            </w:r>
          </w:p>
        </w:tc>
      </w:tr>
    </w:tbl>
    <w:p w:rsidR="00B43B0C" w:rsidRPr="00971586" w:rsidRDefault="00B43B0C" w:rsidP="003A7BF7">
      <w:pPr>
        <w:spacing w:after="0"/>
        <w:rPr>
          <w:rFonts w:ascii="Arial" w:hAnsi="Arial" w:cs="Arial"/>
          <w:sz w:val="2"/>
          <w:szCs w:val="2"/>
        </w:rPr>
      </w:pPr>
    </w:p>
    <w:sectPr w:rsidR="00B43B0C" w:rsidRPr="00971586" w:rsidSect="00D7159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95" w:rsidRDefault="007D5C95" w:rsidP="00560AF2">
      <w:pPr>
        <w:spacing w:after="0" w:line="240" w:lineRule="auto"/>
      </w:pPr>
      <w:r>
        <w:separator/>
      </w:r>
    </w:p>
  </w:endnote>
  <w:endnote w:type="continuationSeparator" w:id="0">
    <w:p w:rsidR="007D5C95" w:rsidRDefault="007D5C95" w:rsidP="0056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D6F" w:rsidRDefault="007C1D6F" w:rsidP="00560AF2">
    <w:pPr>
      <w:pStyle w:val="Footer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E4690B">
      <w:rPr>
        <w:rFonts w:ascii="Arial" w:hAnsi="Arial" w:cs="Arial"/>
        <w:noProof/>
        <w:sz w:val="12"/>
        <w:szCs w:val="12"/>
      </w:rPr>
      <w:t>L:\Business Continuity and Major Incident\Bis Continuity Cupboard  File 2023\3 Action Card 1 - Silver Commander -</w:t>
    </w:r>
    <w:r w:rsidR="00E54F7D">
      <w:rPr>
        <w:rFonts w:ascii="Arial" w:hAnsi="Arial" w:cs="Arial"/>
        <w:noProof/>
        <w:sz w:val="12"/>
        <w:szCs w:val="12"/>
      </w:rPr>
      <w:t xml:space="preserve"> V5</w:t>
    </w:r>
    <w:r w:rsidR="00E4690B">
      <w:rPr>
        <w:rFonts w:ascii="Arial" w:hAnsi="Arial" w:cs="Arial"/>
        <w:noProof/>
        <w:sz w:val="12"/>
        <w:szCs w:val="12"/>
      </w:rPr>
      <w:t xml:space="preserve">.0 - </w:t>
    </w:r>
    <w:r w:rsidR="004B132A">
      <w:rPr>
        <w:rFonts w:ascii="Arial" w:hAnsi="Arial" w:cs="Arial"/>
        <w:noProof/>
        <w:sz w:val="12"/>
        <w:szCs w:val="12"/>
      </w:rPr>
      <w:t>July24</w:t>
    </w:r>
    <w:r w:rsidR="00E4690B">
      <w:rPr>
        <w:rFonts w:ascii="Arial" w:hAnsi="Arial" w:cs="Arial"/>
        <w:noProof/>
        <w:sz w:val="12"/>
        <w:szCs w:val="12"/>
      </w:rPr>
      <w:t>.docx</w:t>
    </w:r>
    <w:r>
      <w:rPr>
        <w:rFonts w:ascii="Arial" w:hAnsi="Arial" w:cs="Arial"/>
        <w:sz w:val="12"/>
        <w:szCs w:val="12"/>
      </w:rPr>
      <w:fldChar w:fldCharType="end"/>
    </w:r>
  </w:p>
  <w:p w:rsidR="007D5C95" w:rsidRPr="00BA0D1E" w:rsidRDefault="007D5C95" w:rsidP="00560AF2">
    <w:pPr>
      <w:pStyle w:val="Footer"/>
      <w:jc w:val="right"/>
      <w:rPr>
        <w:rFonts w:ascii="Arial" w:hAnsi="Arial" w:cs="Arial"/>
        <w:sz w:val="12"/>
        <w:szCs w:val="12"/>
      </w:rPr>
    </w:pPr>
    <w:r w:rsidRPr="00BA0D1E">
      <w:rPr>
        <w:rFonts w:ascii="Arial" w:hAnsi="Arial" w:cs="Arial"/>
        <w:sz w:val="12"/>
        <w:szCs w:val="12"/>
      </w:rPr>
      <w:t xml:space="preserve">Page </w:t>
    </w:r>
    <w:r w:rsidRPr="00BA0D1E">
      <w:rPr>
        <w:rFonts w:ascii="Arial" w:hAnsi="Arial" w:cs="Arial"/>
        <w:sz w:val="12"/>
        <w:szCs w:val="12"/>
      </w:rPr>
      <w:fldChar w:fldCharType="begin"/>
    </w:r>
    <w:r w:rsidRPr="00BA0D1E">
      <w:rPr>
        <w:rFonts w:ascii="Arial" w:hAnsi="Arial" w:cs="Arial"/>
        <w:sz w:val="12"/>
        <w:szCs w:val="12"/>
      </w:rPr>
      <w:instrText xml:space="preserve"> PAGE   \* MERGEFORMAT </w:instrText>
    </w:r>
    <w:r w:rsidRPr="00BA0D1E">
      <w:rPr>
        <w:rFonts w:ascii="Arial" w:hAnsi="Arial" w:cs="Arial"/>
        <w:sz w:val="12"/>
        <w:szCs w:val="12"/>
      </w:rPr>
      <w:fldChar w:fldCharType="separate"/>
    </w:r>
    <w:r w:rsidR="000B24E9">
      <w:rPr>
        <w:rFonts w:ascii="Arial" w:hAnsi="Arial" w:cs="Arial"/>
        <w:noProof/>
        <w:sz w:val="12"/>
        <w:szCs w:val="12"/>
      </w:rPr>
      <w:t>1</w:t>
    </w:r>
    <w:r w:rsidRPr="00BA0D1E">
      <w:rPr>
        <w:rFonts w:ascii="Arial" w:hAnsi="Arial" w:cs="Arial"/>
        <w:sz w:val="12"/>
        <w:szCs w:val="12"/>
      </w:rPr>
      <w:fldChar w:fldCharType="end"/>
    </w:r>
    <w:r w:rsidRPr="00BA0D1E">
      <w:rPr>
        <w:rFonts w:ascii="Arial" w:hAnsi="Arial" w:cs="Arial"/>
        <w:sz w:val="12"/>
        <w:szCs w:val="12"/>
      </w:rPr>
      <w:t xml:space="preserve"> of </w:t>
    </w:r>
    <w:r w:rsidRPr="00BA0D1E">
      <w:rPr>
        <w:rFonts w:ascii="Arial" w:hAnsi="Arial" w:cs="Arial"/>
        <w:sz w:val="12"/>
        <w:szCs w:val="12"/>
      </w:rPr>
      <w:fldChar w:fldCharType="begin"/>
    </w:r>
    <w:r w:rsidRPr="00BA0D1E">
      <w:rPr>
        <w:rFonts w:ascii="Arial" w:hAnsi="Arial" w:cs="Arial"/>
        <w:sz w:val="12"/>
        <w:szCs w:val="12"/>
      </w:rPr>
      <w:instrText xml:space="preserve"> NUMPAGES   \* MERGEFORMAT </w:instrText>
    </w:r>
    <w:r w:rsidRPr="00BA0D1E">
      <w:rPr>
        <w:rFonts w:ascii="Arial" w:hAnsi="Arial" w:cs="Arial"/>
        <w:sz w:val="12"/>
        <w:szCs w:val="12"/>
      </w:rPr>
      <w:fldChar w:fldCharType="separate"/>
    </w:r>
    <w:r w:rsidR="000B24E9">
      <w:rPr>
        <w:rFonts w:ascii="Arial" w:hAnsi="Arial" w:cs="Arial"/>
        <w:noProof/>
        <w:sz w:val="12"/>
        <w:szCs w:val="12"/>
      </w:rPr>
      <w:t>1</w:t>
    </w:r>
    <w:r w:rsidRPr="00BA0D1E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95" w:rsidRDefault="007D5C95" w:rsidP="00560AF2">
      <w:pPr>
        <w:spacing w:after="0" w:line="240" w:lineRule="auto"/>
      </w:pPr>
      <w:r>
        <w:separator/>
      </w:r>
    </w:p>
  </w:footnote>
  <w:footnote w:type="continuationSeparator" w:id="0">
    <w:p w:rsidR="007D5C95" w:rsidRDefault="007D5C95" w:rsidP="0056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5" w:rsidRDefault="000B24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399844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5.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5" w:rsidRDefault="000B24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399845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5.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C95" w:rsidRDefault="000B24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6399843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5.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A14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05E4"/>
    <w:multiLevelType w:val="hybridMultilevel"/>
    <w:tmpl w:val="5030C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2E3F"/>
    <w:multiLevelType w:val="multilevel"/>
    <w:tmpl w:val="C1C66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CE659A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15AA"/>
    <w:multiLevelType w:val="hybridMultilevel"/>
    <w:tmpl w:val="8AFA1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D4D15"/>
    <w:multiLevelType w:val="hybridMultilevel"/>
    <w:tmpl w:val="3FA633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5545"/>
    <w:multiLevelType w:val="hybridMultilevel"/>
    <w:tmpl w:val="F7E6E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1EE8"/>
    <w:multiLevelType w:val="hybridMultilevel"/>
    <w:tmpl w:val="7460FD7E"/>
    <w:lvl w:ilvl="0" w:tplc="A894D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D4228"/>
    <w:multiLevelType w:val="hybridMultilevel"/>
    <w:tmpl w:val="6ED20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27779"/>
    <w:multiLevelType w:val="hybridMultilevel"/>
    <w:tmpl w:val="1B18D0C0"/>
    <w:lvl w:ilvl="0" w:tplc="F844D8E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95090D"/>
    <w:multiLevelType w:val="hybridMultilevel"/>
    <w:tmpl w:val="B8BEC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E4CA4"/>
    <w:multiLevelType w:val="hybridMultilevel"/>
    <w:tmpl w:val="F9A86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C6A33"/>
    <w:multiLevelType w:val="hybridMultilevel"/>
    <w:tmpl w:val="13A26F34"/>
    <w:lvl w:ilvl="0" w:tplc="B3846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66BD7"/>
    <w:multiLevelType w:val="hybridMultilevel"/>
    <w:tmpl w:val="76AE67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F096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0E716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BE3841"/>
    <w:multiLevelType w:val="hybridMultilevel"/>
    <w:tmpl w:val="9CA4AB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E2022D"/>
    <w:multiLevelType w:val="hybridMultilevel"/>
    <w:tmpl w:val="7152D7CC"/>
    <w:lvl w:ilvl="0" w:tplc="D282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9"/>
  </w:num>
  <w:num w:numId="5">
    <w:abstractNumId w:val="10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15"/>
  </w:num>
  <w:num w:numId="11">
    <w:abstractNumId w:val="0"/>
  </w:num>
  <w:num w:numId="12">
    <w:abstractNumId w:val="11"/>
  </w:num>
  <w:num w:numId="13">
    <w:abstractNumId w:val="8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28"/>
    <w:rsid w:val="00006EDD"/>
    <w:rsid w:val="00013081"/>
    <w:rsid w:val="000225ED"/>
    <w:rsid w:val="00041D70"/>
    <w:rsid w:val="00043248"/>
    <w:rsid w:val="00091A76"/>
    <w:rsid w:val="000A1E2E"/>
    <w:rsid w:val="000B24E9"/>
    <w:rsid w:val="000B7F5B"/>
    <w:rsid w:val="000C44DB"/>
    <w:rsid w:val="00103E42"/>
    <w:rsid w:val="001232CC"/>
    <w:rsid w:val="0013127C"/>
    <w:rsid w:val="001354EA"/>
    <w:rsid w:val="00156384"/>
    <w:rsid w:val="00160CC4"/>
    <w:rsid w:val="00162C2C"/>
    <w:rsid w:val="00162ED0"/>
    <w:rsid w:val="001649D2"/>
    <w:rsid w:val="00166D43"/>
    <w:rsid w:val="001B0158"/>
    <w:rsid w:val="001C3906"/>
    <w:rsid w:val="001E386D"/>
    <w:rsid w:val="001E6881"/>
    <w:rsid w:val="001F1C52"/>
    <w:rsid w:val="00201517"/>
    <w:rsid w:val="00221A8B"/>
    <w:rsid w:val="002348CB"/>
    <w:rsid w:val="00234FCB"/>
    <w:rsid w:val="00251B20"/>
    <w:rsid w:val="00254806"/>
    <w:rsid w:val="002606EF"/>
    <w:rsid w:val="00285922"/>
    <w:rsid w:val="002B13D7"/>
    <w:rsid w:val="002D67B2"/>
    <w:rsid w:val="0032432A"/>
    <w:rsid w:val="003243C9"/>
    <w:rsid w:val="00325CA7"/>
    <w:rsid w:val="00381A5E"/>
    <w:rsid w:val="0039123B"/>
    <w:rsid w:val="003A7BF7"/>
    <w:rsid w:val="003C421C"/>
    <w:rsid w:val="003D45B0"/>
    <w:rsid w:val="00414E3E"/>
    <w:rsid w:val="004204C7"/>
    <w:rsid w:val="00462432"/>
    <w:rsid w:val="004926F3"/>
    <w:rsid w:val="004B132A"/>
    <w:rsid w:val="004B7E68"/>
    <w:rsid w:val="004C77CB"/>
    <w:rsid w:val="004E47FD"/>
    <w:rsid w:val="004E7F30"/>
    <w:rsid w:val="00511283"/>
    <w:rsid w:val="005142D3"/>
    <w:rsid w:val="00521335"/>
    <w:rsid w:val="00536301"/>
    <w:rsid w:val="00545B0E"/>
    <w:rsid w:val="005538A0"/>
    <w:rsid w:val="00553E45"/>
    <w:rsid w:val="00560AF2"/>
    <w:rsid w:val="00580FD3"/>
    <w:rsid w:val="00593C29"/>
    <w:rsid w:val="005A39DC"/>
    <w:rsid w:val="005B0748"/>
    <w:rsid w:val="005B39E6"/>
    <w:rsid w:val="005D25C0"/>
    <w:rsid w:val="005E10C1"/>
    <w:rsid w:val="0060529A"/>
    <w:rsid w:val="006150D1"/>
    <w:rsid w:val="00641BE7"/>
    <w:rsid w:val="006579FE"/>
    <w:rsid w:val="00717996"/>
    <w:rsid w:val="007264C7"/>
    <w:rsid w:val="007C1D6F"/>
    <w:rsid w:val="007D1637"/>
    <w:rsid w:val="007D5C95"/>
    <w:rsid w:val="007E201C"/>
    <w:rsid w:val="007E7AC5"/>
    <w:rsid w:val="00807914"/>
    <w:rsid w:val="00854FE1"/>
    <w:rsid w:val="00855FAE"/>
    <w:rsid w:val="008B5E6A"/>
    <w:rsid w:val="008F374C"/>
    <w:rsid w:val="008F4019"/>
    <w:rsid w:val="00905B00"/>
    <w:rsid w:val="00921EAA"/>
    <w:rsid w:val="00964067"/>
    <w:rsid w:val="00966BB4"/>
    <w:rsid w:val="00971586"/>
    <w:rsid w:val="00994A19"/>
    <w:rsid w:val="00995415"/>
    <w:rsid w:val="00995FBC"/>
    <w:rsid w:val="009B507E"/>
    <w:rsid w:val="009B69C1"/>
    <w:rsid w:val="009C265F"/>
    <w:rsid w:val="009C76C0"/>
    <w:rsid w:val="009D0342"/>
    <w:rsid w:val="009D5D34"/>
    <w:rsid w:val="00A044D9"/>
    <w:rsid w:val="00A21A85"/>
    <w:rsid w:val="00A2388D"/>
    <w:rsid w:val="00A37C42"/>
    <w:rsid w:val="00A626DF"/>
    <w:rsid w:val="00A81A19"/>
    <w:rsid w:val="00AB7EC0"/>
    <w:rsid w:val="00AD427F"/>
    <w:rsid w:val="00AD49DC"/>
    <w:rsid w:val="00B04756"/>
    <w:rsid w:val="00B04D28"/>
    <w:rsid w:val="00B26FF1"/>
    <w:rsid w:val="00B41888"/>
    <w:rsid w:val="00B43B0C"/>
    <w:rsid w:val="00B55879"/>
    <w:rsid w:val="00B74185"/>
    <w:rsid w:val="00B935BD"/>
    <w:rsid w:val="00BA0D1E"/>
    <w:rsid w:val="00BF2EDE"/>
    <w:rsid w:val="00C079B4"/>
    <w:rsid w:val="00C12CBE"/>
    <w:rsid w:val="00C42B89"/>
    <w:rsid w:val="00C51040"/>
    <w:rsid w:val="00C5416F"/>
    <w:rsid w:val="00C629F7"/>
    <w:rsid w:val="00C66F28"/>
    <w:rsid w:val="00C7105C"/>
    <w:rsid w:val="00C7274D"/>
    <w:rsid w:val="00C92193"/>
    <w:rsid w:val="00CA5C37"/>
    <w:rsid w:val="00CD104D"/>
    <w:rsid w:val="00CD4198"/>
    <w:rsid w:val="00CD682B"/>
    <w:rsid w:val="00CF2DB1"/>
    <w:rsid w:val="00D47B7A"/>
    <w:rsid w:val="00D50242"/>
    <w:rsid w:val="00D5455D"/>
    <w:rsid w:val="00D5737B"/>
    <w:rsid w:val="00D626BC"/>
    <w:rsid w:val="00D71598"/>
    <w:rsid w:val="00D724D1"/>
    <w:rsid w:val="00D7274D"/>
    <w:rsid w:val="00DA0F2B"/>
    <w:rsid w:val="00DA4993"/>
    <w:rsid w:val="00DB041A"/>
    <w:rsid w:val="00DB2DC3"/>
    <w:rsid w:val="00DC7433"/>
    <w:rsid w:val="00E02A22"/>
    <w:rsid w:val="00E14130"/>
    <w:rsid w:val="00E36351"/>
    <w:rsid w:val="00E4690B"/>
    <w:rsid w:val="00E47C7E"/>
    <w:rsid w:val="00E545B7"/>
    <w:rsid w:val="00E54F7D"/>
    <w:rsid w:val="00E6529D"/>
    <w:rsid w:val="00E85BA0"/>
    <w:rsid w:val="00EC4D2E"/>
    <w:rsid w:val="00ED0999"/>
    <w:rsid w:val="00F023C4"/>
    <w:rsid w:val="00F16983"/>
    <w:rsid w:val="00F17F57"/>
    <w:rsid w:val="00F277B8"/>
    <w:rsid w:val="00F30028"/>
    <w:rsid w:val="00F40A6D"/>
    <w:rsid w:val="00F50A65"/>
    <w:rsid w:val="00F75467"/>
    <w:rsid w:val="00F85869"/>
    <w:rsid w:val="00FA2F23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C497FF0-FEFC-42FA-A735-F940977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8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5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B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F2"/>
  </w:style>
  <w:style w:type="paragraph" w:styleId="Footer">
    <w:name w:val="footer"/>
    <w:basedOn w:val="Normal"/>
    <w:link w:val="FooterChar"/>
    <w:uiPriority w:val="99"/>
    <w:unhideWhenUsed/>
    <w:rsid w:val="0056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F2"/>
  </w:style>
  <w:style w:type="table" w:styleId="TableGrid">
    <w:name w:val="Table Grid"/>
    <w:basedOn w:val="TableNormal"/>
    <w:uiPriority w:val="59"/>
    <w:rsid w:val="0052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BBB5-C1D9-416F-9E6E-B17A4DE7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Clarke</dc:creator>
  <cp:lastModifiedBy>Tracy Dipalma</cp:lastModifiedBy>
  <cp:revision>2</cp:revision>
  <cp:lastPrinted>2023-03-30T10:39:00Z</cp:lastPrinted>
  <dcterms:created xsi:type="dcterms:W3CDTF">2024-07-12T12:40:00Z</dcterms:created>
  <dcterms:modified xsi:type="dcterms:W3CDTF">2024-07-12T12:40:00Z</dcterms:modified>
</cp:coreProperties>
</file>